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山西大学重大合同审查及用印审批表</w:t>
      </w:r>
    </w:p>
    <w:tbl>
      <w:tblPr>
        <w:tblStyle w:val="2"/>
        <w:tblW w:w="9381" w:type="dxa"/>
        <w:jc w:val="center"/>
        <w:tblCellSpacing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141"/>
        <w:gridCol w:w="992"/>
        <w:gridCol w:w="1417"/>
        <w:gridCol w:w="1239"/>
        <w:gridCol w:w="230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合同相对方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法人名章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是否使用法人名章：□是       □否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主办单位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对合同的可行性、必要性分析论证；对合同的技术性条款（包括但不限于合同标的、合同价款、付款条件、验收条款、质量条款、违约责任等）进行审查；对合同相对方进行资信调查。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 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: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  <w:t>业务归口管理部门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审核合同相对方的主体资格、资信情况；审核合同事项的必要性、可行性、真实性、合理性；对合同内容及文本进行业务审核；审核合同基本条款的完备情况。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  <w:t>法律事务办公室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对合同进行合法性审查；对合同的法律条款进行审查；对履行合同的法律风险进行提示。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 审查人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: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主办单位分管校领导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业务归口管理部门分管校领导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校长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8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TViOGNkZGNkOWJhZmMyZDkxMGEwZTE3YWZlYmMifQ=="/>
  </w:docVars>
  <w:rsids>
    <w:rsidRoot w:val="5EF41FC2"/>
    <w:rsid w:val="5E9B5B97"/>
    <w:rsid w:val="5EF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2023-06-28T01:28:00Z</dcterms:created>
  <dc:creator>1109</dc:creator>
  <cp:lastModifiedBy>1109</cp:lastModifiedBy>
  <dcterms:modified xsi:type="dcterms:W3CDTF">2023-06-28T01:29:34Z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ED87F75A6678490EB3B0FEA3DCB1603E_11</vt:lpwstr>
  </property>
</Properties>
</file>